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86" w:rsidRPr="00FE0086" w:rsidRDefault="00FE0086" w:rsidP="00FE0086">
      <w:pPr>
        <w:bidi/>
        <w:spacing w:after="270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  <w:rtl/>
        </w:rPr>
        <w:t>بيان وزارة المالية عن الميزانية العامة للدولة للسنة المالية</w:t>
      </w:r>
      <w:r w:rsidRPr="00FE0086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</w:rPr>
        <w:t xml:space="preserve"> 1424/1425 </w:t>
      </w:r>
      <w:r w:rsidRPr="00FE0086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  <w:rtl/>
        </w:rPr>
        <w:t>هـ</w:t>
      </w:r>
      <w:r w:rsidRPr="00FE0086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</w:rPr>
        <w:t xml:space="preserve">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فيما يلي النتائج المالية للعام المالي (1423/1424) ، وإستعراض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للملامح الرئيسية للميزانية العامة للدولة للعام المالي (1424/1425) ، وتطورات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الإقتصاد الوطني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أولاً : النتائج المالية للعام المالي 1423/1424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يُتوقع أن تبلغ الإيرادات للعام المالي 1423/1424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(295.000.000.000)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مئتين وخمسة وتسعين ألف مليون ريال ، وأن تبلغ المصروفات الفعلية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للسنة المالية 1423/1424 (250.000.000.000) مئتين وخمسين ألف مليون ريال . وقد كان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هناك إرتفاع في بعض المصروفات الطارئة لمواجهة التطورات في المنطقة ولتغطية الجوانب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الأمنية ، إضافة للإلتزامات المترتبة على الدولة التي لم تتمكن إعتمادات الميزانية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 تغطيتها في ظل التقديرات الأولية وأبرزها تسوية المستحقات للشركات والمؤسسات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والأفراد والمزارعين عن أعوام سابقة وذلك ضمن جهود الحكومة لتنظيم الصرف وشملت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إيجارات الدور والإلتزامات المترتبة على عقود توريد الإعاشة والمحروقات وتنفيذ بعض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البرامج والمشاريع . أما بقية الإيرادات فقد تم توجيهها لتسديد جزء من إلتزامات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الدين العام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ثانياً : الميزانية العامة للسنة المالية 1424/1425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تم إعداد الميزانية وفقاً للتوجيهات السامية بالتركيز على تلبية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متطلبات التنمية بجوانبها المتعددة مع إعطاء الأولوية للإنفاق على الخدمات التي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تَمَسُّ المواطن بشكل مباشر مثل الصحة والتعليم والشؤون الإجتماعية والخدمات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البلدية والمياه والصرف الصحي والطرق وبعض مشروعات البنية الأساسية لتشجيع وجذب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الإستثمار مما سيساهم ـ بإذن الله ـ في زيادة النمو الإقتصادي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وفيما يلي تقديرات عناصر الميزانية للعام المالي 1424/1425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قُدِّرَتْ الإيرادات العامة بمبلغ (200.000.000.000) مئتي ألف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FE0086" w:rsidRPr="00FE0086" w:rsidRDefault="00FE0086" w:rsidP="00FE0086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حُدِّدَتْ النفقات العامة بمبلغ (230.000.000.000) مئتين وثلاثين ألف مليون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قُدِّرَ العجز في الميزانية بمبلغ (30.000.000.000) ثلاثين ألف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ثالثاً : الملامح الرئيسية لميزانية السنة المالية 1424/1425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إشتملت الميزانية على مشاريع جديدة ومراحل إضافية لبعض المشاريع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التي سبق إعتمادها تبلغ تكاليفها الإجمالية حوالي (41.600.000.000) واحد وأربعين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ألف وست مئة مليون ريال منها حوالي (32.600.000.000) إثنين وثلاثين ألفاً وست 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مليون ريال في قطاعات التعليم والصحة والتنمية الإجتماعية والـخدمات البلدية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والمياه والصرف الصحي والنقل والمواصلات والتجهيزات الأساسية . وفي ما يلي المخصص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 إعتمادات الميزانية العامة للدولة للإنفاق على القطاعات ذات الصلة بالخدمات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والتنمية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أ- قطاع التعليم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بلغ ما تم تخصيصه لقطاع التـعـليم العام والتـعـليم الـعالي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وتدريب القوى العـاملة (63.650.000.000) ثلاثة وستين ألفاً وست مئة وخمسين مليون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 . وفي ضوء حرص حكومة خادم الحرمين الشريفين على التعليم وتوفير البيئة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المناسبة له وزيادة الطاقة الإستيعابية للمدارس والجامعات والكليات المتخصصة تم في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الجديدة إعتماد مشاريع تبلغ تكاليفها حوالي (8.500.000.000) ثمانية آلاف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وخمس مئة مليون ريال . ففي مجال التعليم العام تم إعتماد إنشاء (1030) مدرسة جديدة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للبنين والبنات إضافة إلى المدارس التي لا تزال تحت الإنشاء البالغ عددها حوالي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(2000)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مدرسة ، وتأهيل وتوفير وسائل السلامة لــ (2000) مبنى مدرسي للبنين والبنات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، وإضافة فصول دراسية للمدارس القائمة ، وتأثيث المدارس وتجهيزها بالوسائل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التعليمية والحاسب الآلي . أما في مجال التعليم العالي تضمنت الميزانية إعتماد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مبالغ لإفتتاح الجامعات الجديدة في المدينة المنورة والقصيم والطائف ، وإنشاء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وتجهيز (9) كليات للبنات في مختلف مناطق المملكة ، وإنشاء مباني مع التجهيز لــ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(11)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كلية في الجامعات ، وتجهيز عدد من كليات المجتمع ، وإنشاء مباني للبحوث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والمكتبات ، وتجهيز المعامل والمختبرات في بعض الجامعات . وبالنسبة للتعليم الفني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والتدريب المهني فبناءاً على التوجيهات السامية بتنفيذ برامج تدريبية مهنية عاجلة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في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مختلف المهن التي يحتاجها سوق العمل سيتم البدء بمشروع التدريب العسكري المهني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بالتعاون بين القطاعات العسكرية والمؤسسة العامة للتعليم الفني والتدريب المهني في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بداية عام 1425هـ حيث سيتم سنوياً قبول حوالي (10000) متدرب ومدة التدريب سنة يمنح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بعدها المتدرب شهادة في المهنة التي تم التدريب عليها ، ولزيادة الطاقة الإستيعابية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للكليات والمعاهد والمراكز التابعة للمؤسسة العامة للتعليم الفني والتدريب المهني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تضمنت الميزانية الجديدة إنشاء وتجهيز (10) كليات تقنية جديدة و (14) مركز تدريب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مهني جديد ، وإنشاء مباني جديدة لإستبدال (12) مركز مهني قائم و (7) معاهد ثانوية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تجارية . وبالإضافة إلى ما سبق من مشاريع إنشائية سيتم إفتتاح (7) كليات مجتمع و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(5)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كليات تقنية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ب- الخدمات الصحية والتنمية الإجتماعية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خـُصِّص لقطاعات الخدمات الصحية والتنمية الإجتماعية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(24.300.000.000)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أربعة وعشرون ألفاً وثلاث مئة مليون ريال . وتضمنت ميزانية هذا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القطاع مشاريع جديدة لإنشاء وتجهيز (150) مركز رعاية صحية أولية بمختلف مناطق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المملكة ، إضافة إلى إستكمال تأثيث وتجهيز بعض المستشفيات الجديدة ، وتوسعة وتحسين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وتطوير وترميم بعض المنشآت والمرافق الصحية القائمة . علماً أنه يجري حالياً تنفيذ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(88)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مستشفى في مختلف مناطق المملكة بطاقة سريرية تبلغ حوالي (1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1000)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، ونتيجة لذلك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سترتفع الطاقة السريرية للمستشفيات الحكومية بعد الإنتهاء من تنفيذ هذه المشاريع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بنسبة (38) في المئة ، ومن تلك المستشفيات (26) مستشفى بسعة سريرية تبلغ (4340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سيتم الإنتهاء من تنفيذها خلال العام القادم . وفي مجال الخدمات الإجتماعية تضمنت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دعم إمكانيات وزارة العمل والشؤون الإجتماعية لتحقيق أهداف التنمية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الإجتماعية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ج- الخدمات البلدية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يبلغ المخصص لهذا القطاع (8.570.000.000) ثمانية آلاف وخمس 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وسبعين مليون ريال . ففي إطار الإهتمام بهذا القطاع تضمنت الميزانية إعتماد مشاريع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جديدة وإضافات لتكاليف بعض المشروعات القائمة لتنفيذ التقاطعات لبعض الطرق والشوارع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داخل المدن بهدف فك الإختناقات المرورية ، إضافة لإستكمال تنفيذ مشاريع السفلتة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والإنارة للشوارع وتصريف مياه الأمطار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والسيول بمختلف مناطق المملكة وقد بلغت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التكاليف الإجمالية لهذه المشاريع أكثر من (4.500.000.000) أربعة آلاف وخمس 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د- النقل والإتصالات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بلغت مخصصات قطاع النقل والإتصالات (7.250.000.000) سبعة آلاف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ومئتين وخمسين مليون ريال شملت إعتماد مشاريع جديدة للطرق الرئيسة والفرعية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والزراعية تبلغ تكاليفها أكثر من (3.500.000.000) ثلاثة آلاف وخمس مئة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ويبلغ مجموع أطوالها حوالي (3800) ثلاثة آلاف وثمان مئة كيلو متر ، ومن أهمها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المرحلة الأولى من إزدواج طريق الطائف ــ الباحة ــ أبها ، وإستكمال إزدواج طريق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جده ـ جازان ، وإزدواج طريق خميس مشيط ـ نجران ، وإزدواج إمتداد الطريق الساحلي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ينبع ـ أملج ـ ضبا ـ شرما ) . كما شملت الميزانية إعتمادات للدراسات والتصاميم لطرق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جديدة رئيسية وثانوية وفرعية بلغ مجموع أطوالها حوالي (5000) خمسة آلاف كيلو متر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منها أكثر من (1100) ألف ومئة كيلو متر للطرق الرئيسية والثانوية . كما تضمنت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إعتماد مشاريع أخرى للموانىء ، والخطوط الحديدية ، ولتطوير أنظمة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الإتصالات الملاحية الجوية وأبراج المراقبة وتحسين بعض مرافق المطارات المحلية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هـ- المياه والزراعة والتجهيزات الأساسية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بلغ مخصص قطاعات المياه والصناعة والتجهيزات الأساسية وبعض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القطاعات الإقتصادية الأخرى (15.100.000.000) خمسة عشر ألف ومئة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فحرصاً من حكومة خادم الحرمين الشريفين على توفير مياه الشرب وتعزيز مصادر المياه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القائمة تضمنت الميزانية الجديدة مشاريع في مختلف مناطق المملكة للمياه والصرف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الصحي والسدود وحفر الآبار ، ومحطات للضخ والتنقية ، ومحطات تحلية جديدة وتوسعة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وتحسين محطات التحلية القائمة وإيصال المياه المحلاة إلى مناطق جديدة وبلغت تكاليف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تلك المشاريع حوالي (9.000.000.000) تسعة آلاف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و- صناديق التنمية المتخصصه وبرامج التمويل الحكومية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سوف تُواصل صناديق وبنوك التنمية الحكومية تقديم القروض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للمشاريع التنموية في المجالات الصناعية والزراعية والعقارية ، وتُعتبر هذه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الصناديق والبنوك ــ من خلال ما تقدمه من قروض وإستثمارات ومشاريع ــ روافد مهمة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للإنفاق الحكومي المباشر على القطاعات المختلفة مما يعزز نمو الاقتصاد الوطني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ويُتَوَقَّع أن يبلغ حجم القروض المقدمة لعام 1424/1425 (10.600.000.000) عشرة آلاف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وست مئة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وفيما يتعلق ببرامج التمويل الحكومية فقد تم إعتماد مبالغ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لبرنامج ضمان قروض المؤسسات المتوسطة والصغيرة الذي سيبدأ نشاطه في العام القادم ــ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بإذن الله ــ وسيتيح هذا البرنامج حصول هذه المؤسسات على التمويل اللازم بشكل ميسر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كما أعتمدت مبالغ إضافية لبرنامج إقراض الجامعات والكليات والمدارس الأهلية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رابعاً : تطورات الإقتصاد الوطني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numPr>
          <w:ilvl w:val="0"/>
          <w:numId w:val="2"/>
        </w:num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الناتج المحلي الإجمالي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 المتوقع أن يبلغ حجم الناتج المحلي الإجمالي هذا العام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1423/1424 (2003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م) وفقاً لتقديرات مصلحة الإحصاءات العامة (791.900.000.000) سبع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مئة وواحد وتسعين ألفاً وتسع مئة مليون ريال محققاً بذلك نمواً نسبته (12) في المئة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بالأسعار الجارية . أما بالأسعار الثابتة فيتوقع أن يشهد نمواً تبلغ نسبته (6.4) في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المئة ليصل إلى (677.600.000.000) ست مئة وسبعة وسبعين ألفًا وست مئة مليون ريال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ومن أبرز عوامل تحقيق هذا المعدل الإرتفاع الكبير في أسعار البترول حيث من المتوقع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أن يحقق القطاع البترولي نمواً تبلغ نسبته (22.9) في المئة بالأسعار الجارية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ويُتوقع أن يشهد الناتج المحلي الإجمالي للقطاع الخاص نمواً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نسبته (3.7) في المئة بالأسعار الجارية وبنسبة (3.4) في المئة بالأسعار الثابتة ،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وقد حققت جميع الأنشطة الإقتصادية المكونة له نمواً إيجابياً ، إذ يُقدر أن يصل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النمو الحقيقي في الصناعات التحويلية غير البترولية إلى (3.9) في المئة ، وفي نشاط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الإتصالات والنقل والتخزين (4.3) في المئة ، وفي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نشاط الكهرباء والغاز والماء (6.2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، وفي نشاط التشييد والبناء (2.8) في المئة ، وفي نشاط تجارة الجملة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والتجزئة والمطاعم والفنادق (4.4) في المئة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وقد كان للإجراءات والقرارات التي إستمرت المملكة في تبنيها في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مجال الإصلاحات الإقتصادية أثرٌّ فعالٌّ في تحقيق معدلات النمو الإيجابية التي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يشهدها القطاع الخاص والتي أدّت إلى توسيع قاعدة الإقتصاد الوطني وتنويعها حيث بلغت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مساهمته في الناتج المحلي هذا العام حوالي (44) في المئة ، وهذه المؤشرات تدل على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زيادة فعاليته خصوصاً نشاطي الصناعات التحويلية والخدمات اللذان يشهدان نمواً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مستمراً منذ عدة سنوات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ومن أهم الإجراءات والقرارات التي كان لها دور في إستمرار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تعزيز الثقة في الإقتصاد الوطني ما يلي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numPr>
          <w:ilvl w:val="1"/>
          <w:numId w:val="2"/>
        </w:numPr>
        <w:bidi/>
        <w:spacing w:before="100" w:beforeAutospacing="1" w:after="100" w:afterAutospacing="1" w:line="360" w:lineRule="auto"/>
        <w:ind w:left="600"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صدر التصنيف الإئتماني للمملكة حيث حصلت على درجة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 A+ 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بالنسبة للعملة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المحلية ودرجة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 A 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بالنسبة للعملة الأجنبية من وكالة ستاندرد آند بورز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(S&amp;P) .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وتعد نتائج هذا التصنيف ممتازة في ظل الأوضاع الإقتصادية الدولية والأمنية مما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يعكس مدى الثقة في متانة الإقتصاد السعودي ، وستعزز هذه النتائج ـ بإذن الله ـ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المكانة الاقتصادية للمملكة خصوصاً أنه أول تصنيف تحصل عليه من واحدة من أكبر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مؤسسات التصنيف الدولية . وقد أرجعت شركة ستاندرد آند بورز أسباب منحها هذه الدرجة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المتقدمة من التصنيف إلى الإستقرار الإقتصادي الكلي (المالي والنقدي) على الرغم من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التذبذب الكبير في أسعار البترول والنزاعات الإقليمية ، إضافة لإستقرار أسعار الصرف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، وإنخفاض معدل التضخم ، ووجود قطاع مصرفي قوي ، والجهود الطموحة لدعم الإنفتاح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الإقتصادي وجهود القطاع الخاص . وسيعزز موقع المملكة كبيئة جاذبة للإستثمارات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وسيسهل على الشركات السعودية الحصول على التمويل ويخفض من تكلفته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1"/>
          <w:numId w:val="2"/>
        </w:numPr>
        <w:bidi/>
        <w:spacing w:before="100" w:beforeAutospacing="1" w:after="100" w:afterAutospacing="1" w:line="360" w:lineRule="auto"/>
        <w:ind w:left="600"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تم في بداية هذا العام تطبيق الإتحاد الجمركي بين دول مجلس التعاون لدول الخليج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العربية والذي يعتبر مرحلة مهمة من مراحل التكامل الإقتصادي وسيتم خلال الفترة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القادمة إستكمال إجراءات أخرى تعزز هذا التكامل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1"/>
          <w:numId w:val="2"/>
        </w:numPr>
        <w:bidi/>
        <w:spacing w:before="100" w:beforeAutospacing="1" w:after="100" w:afterAutospacing="1" w:line="360" w:lineRule="auto"/>
        <w:ind w:left="600"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في مجال الإستثمار الأجنبي في قطاع الغاز تم مؤخراً توقيع إتفاقية بين كل من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شركة شل الهولندية وشركة توتال الفرنسية وشركة أرامكو السعودية للتنقيب عن الغاز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غير المصاحب وتطويره وإنتاجه في منطقة جنوب الربع الخالي ، كما تم طرح مناطق أخرى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للإستثمار ستظهر نتائجها قريباً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1"/>
          <w:numId w:val="2"/>
        </w:numPr>
        <w:bidi/>
        <w:spacing w:before="100" w:beforeAutospacing="1" w:after="100" w:afterAutospacing="1" w:line="360" w:lineRule="auto"/>
        <w:ind w:left="600"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lastRenderedPageBreak/>
        <w:t>ومن أبرز التطورات في مجال مساهمة القطاع الخاص في الإستثمار في البنية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الأساسية ما توصلت إليه شركة أرامكو السعودية مع مستثمرين من القطاع الخاص لإنتاج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المياه لمعاملها في رابغ وإقامة أربع محطات لإنتاج الكهرباء والبخار بطاقة كهربائية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إجمالية تبلغ (1050) ميجا وات لإستخدامات الشركة وفقاً لأسلوب البناء والتملك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والتشغيل والتحويل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 BOOT ) . </w:t>
      </w:r>
    </w:p>
    <w:p w:rsidR="00FE0086" w:rsidRPr="00FE0086" w:rsidRDefault="00FE0086" w:rsidP="00FE0086">
      <w:pPr>
        <w:numPr>
          <w:ilvl w:val="1"/>
          <w:numId w:val="2"/>
        </w:numPr>
        <w:bidi/>
        <w:spacing w:before="100" w:beforeAutospacing="1" w:after="100" w:afterAutospacing="1" w:line="360" w:lineRule="auto"/>
        <w:ind w:left="600"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طَرح (30) في المئة من أسهم شركة الإتصالات السعودية للإكتتاب في بداية هذا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العام وكان الإقبال كبيراً على الإكتتاب حيث بلغت التغطية ما يقارب أربع أضعاف ،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وكان لذلك أثرٌّ إيجابيٌّ على نشاط وحجم التداول في سوق الأسهم . وقد بلغ المؤشر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العام للأسهم بنهاية يوم 17/10/1424هـ الموافق 11/12/2003م (4384) نقطة مقابل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(2518)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نقطة في بداية السنة المالية 1423/1424 (2003م) بنسبة زيادة بلغت (74) في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المئة ، كما بلغت قيمة الأسهم المتداولة في نهاية الشهر الحادي عشر من العام الحالي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(537.000.000.000)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خمس مئة وسبعة وثلاثين ألف مليون ريال مقارنة بــ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(134.000.000.000)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مئة وأربعة وثلاثين ألف مليون ريال لكامل العام الماضي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1"/>
          <w:numId w:val="2"/>
        </w:numPr>
        <w:bidi/>
        <w:spacing w:before="100" w:beforeAutospacing="1" w:after="100" w:afterAutospacing="1" w:line="360" w:lineRule="auto"/>
        <w:ind w:left="600"/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تم خلال هذا العام الموافقة على العديد من الأنظمة التي من شأنها تعزيز البيئة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الإستثمارية من أهمها نظام السوق المالية ، ونظام ضريبة إستثمار الغاز الطبيعي ،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ونظام مراقبة شركات التأمين التعاوني ، ونظام تبادل المنافع بين نظامي التقاعد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والتأمينات الإجتماعية ، ونظام نزع ملكية العقارات للمنفعة العامة . وينتظر أن يُقر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قريباً نظام الضريبة على المستثمرين الأجانب والذي سيكون له ــ بإذن الله ــ تأثير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  <w:rtl/>
        </w:rPr>
        <w:t>إيجابي في جذب الإستثمار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0"/>
          <w:numId w:val="2"/>
        </w:num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المستوى العام للأسعار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يعتبر الرقم القياسي لتكاليف المعيشة من أهم مؤشرات المستوى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العام للأسعار ، وقد أظهرت الأرقام القياسية لمستويات الأسعار وفقاً لتقديرات مصلحة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الإحصاءات العامة الأولية إرتفاع الرقم القياسي لتكاليف المعيشة خلال عام 1423/1424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(2003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م) بنسبة (0.51) في المئة عمَّا كان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عليه في عام 1422/1423 (2002م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أما معامل إنكماش الناتج المحلي الإجمالي للقطاع غير البترولي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الذي يُعتبر من أهم المؤشرات الإقتصادية لقياس التضخم على مستوى الإقتصاد ككل ، فمن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المتوقع أن يشهد إرتفاعاً طفيفاً نسبته (0.29) في المئة في عام 1423/1424 (2003م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. </w:t>
      </w:r>
    </w:p>
    <w:p w:rsidR="00FE0086" w:rsidRPr="00FE0086" w:rsidRDefault="00FE0086" w:rsidP="00FE0086">
      <w:pPr>
        <w:numPr>
          <w:ilvl w:val="0"/>
          <w:numId w:val="2"/>
        </w:num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ميزان المدفوعات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تشير التقديرات الأولية لمؤسسة النقد العربي السعودي إلى أن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الحساب الجاري لميزان المدفوعات في العام المالي 1423/1424 (2003م) سيحقق فائضاً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مقداره (101.900.000.000) مئة وواحد ألف وتسع مئة مليون ريال مقارنة بفائض مقداره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(44.500.000.000)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أربعة وأربعون ألف وخمس مئة مليون ريال للعام 1422/1423 (2002م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أما الصادرات غير البترولية فيُتوقع نموها بنسبة (1.6) في المئة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لتبلغ (33.000.000.000) ثلاثة وثلاثين ألف مليون ريال وتمثل ما نسبته (10) في المئة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 إجمالي الصادرات السلعية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numPr>
          <w:ilvl w:val="0"/>
          <w:numId w:val="2"/>
        </w:num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  <w:rtl/>
        </w:rPr>
        <w:t>التطورات النقدية والقطاع المصرفي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9"/>
          <w:szCs w:val="29"/>
          <w:bdr w:val="none" w:sz="0" w:space="0" w:color="auto" w:frame="1"/>
        </w:rPr>
        <w:t xml:space="preserve"> :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واصلت السياسة المالية والنقدية للدولة المحافظة على مستوى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ملائم من السيولة يلبي إحتياجات الإقتصاد الوطني ويحافظ على الإستقرار في الأسعار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المحلية وسعر صرف الريال . فقد سجل عرض النقود بتعريفه الشامل خلال العشرة شهور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الأولى من العام المالي 1423/1424 (2003م) نمواً نسبته (4.2) في المئة مقارنة بنمو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نسبته (11.4) في المئة خلال الفترة نفسها من العام السابق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ind w:left="30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وفيما يتعلق بالقطاع المصرفي فقد إرتفعت الودائع المصرفية بنسبة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(4.5)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، كما إرتفع إجمالي مطلوبات البنوك من القطاعين العام والخاص خلال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الفترة نفسها بنسبة (12.3) في المئة ، وواصلت البنوك تدعيم قدراتها المالية إذ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إرتفع رأسمالها وإحتياطياتها خلال الفترة نفسها بنسبة (2.9) في المئة وزادت أرباحها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بنسبة (7.4) في المئة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FE0086" w:rsidRPr="00FE0086" w:rsidRDefault="00FE0086" w:rsidP="00FE0086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 الختام نسأل الله أن يَحْفَظَ لهذه البلاد قائد مسيرتها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خادم الحرمين الشريفين الملك فهد بن عبدالعزيز وسمو ولي عهده الأمين وسمو النائب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الثاني لرئيس مجلس الوزراء وأن يُدِيْم عليها نعمة الأمنِ والإستقرار</w:t>
      </w:r>
      <w:r w:rsidRPr="00FE0086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</w:p>
    <w:p w:rsidR="005814E5" w:rsidRDefault="005814E5">
      <w:bookmarkStart w:id="0" w:name="_GoBack"/>
      <w:bookmarkEnd w:id="0"/>
    </w:p>
    <w:sectPr w:rsidR="0058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B0C"/>
    <w:multiLevelType w:val="multilevel"/>
    <w:tmpl w:val="9324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542CF"/>
    <w:multiLevelType w:val="multilevel"/>
    <w:tmpl w:val="81A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86"/>
    <w:rsid w:val="005814E5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normal">
    <w:name w:val="txtnormal"/>
    <w:basedOn w:val="Normal"/>
    <w:rsid w:val="00FE0086"/>
    <w:pPr>
      <w:spacing w:before="100" w:beforeAutospacing="1" w:after="100" w:afterAutospacing="1" w:line="360" w:lineRule="auto"/>
      <w:jc w:val="right"/>
    </w:pPr>
    <w:rPr>
      <w:rFonts w:ascii="Traditional Arabic" w:eastAsia="Times New Roman" w:hAnsi="Traditional Arabic" w:cs="Traditional Arabic"/>
      <w:b/>
      <w:bCs/>
      <w:color w:val="000000"/>
      <w:sz w:val="27"/>
      <w:szCs w:val="27"/>
    </w:rPr>
  </w:style>
  <w:style w:type="paragraph" w:customStyle="1" w:styleId="txtsubhead">
    <w:name w:val="txtsubhead"/>
    <w:basedOn w:val="Normal"/>
    <w:rsid w:val="00FE0086"/>
    <w:pPr>
      <w:spacing w:before="100" w:beforeAutospacing="1" w:after="100" w:afterAutospacing="1" w:line="360" w:lineRule="auto"/>
      <w:jc w:val="right"/>
    </w:pPr>
    <w:rPr>
      <w:rFonts w:ascii="Traditional Arabic" w:eastAsia="Times New Roman" w:hAnsi="Traditional Arabic" w:cs="Traditional Arabic"/>
      <w:b/>
      <w:bCs/>
      <w:color w:val="000000"/>
      <w:sz w:val="29"/>
      <w:szCs w:val="29"/>
    </w:rPr>
  </w:style>
  <w:style w:type="character" w:customStyle="1" w:styleId="txthead1">
    <w:name w:val="txthead1"/>
    <w:basedOn w:val="DefaultParagraphFont"/>
    <w:rsid w:val="00FE0086"/>
    <w:rPr>
      <w:rFonts w:ascii="Traditional Arabic" w:hAnsi="Traditional Arabic" w:cs="Traditional Arabic" w:hint="default"/>
      <w:b/>
      <w:bCs/>
      <w:color w:val="5B89AD"/>
      <w:sz w:val="33"/>
      <w:szCs w:val="33"/>
      <w:bdr w:val="none" w:sz="0" w:space="0" w:color="auto" w:frame="1"/>
    </w:rPr>
  </w:style>
  <w:style w:type="character" w:customStyle="1" w:styleId="txtnormal1">
    <w:name w:val="txtnormal1"/>
    <w:basedOn w:val="DefaultParagraphFont"/>
    <w:rsid w:val="00FE0086"/>
    <w:rPr>
      <w:rFonts w:ascii="Traditional Arabic" w:hAnsi="Traditional Arabic" w:cs="Traditional Arabic" w:hint="default"/>
      <w:b/>
      <w:bCs/>
      <w:color w:val="000000"/>
      <w:sz w:val="27"/>
      <w:szCs w:val="27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normal">
    <w:name w:val="txtnormal"/>
    <w:basedOn w:val="Normal"/>
    <w:rsid w:val="00FE0086"/>
    <w:pPr>
      <w:spacing w:before="100" w:beforeAutospacing="1" w:after="100" w:afterAutospacing="1" w:line="360" w:lineRule="auto"/>
      <w:jc w:val="right"/>
    </w:pPr>
    <w:rPr>
      <w:rFonts w:ascii="Traditional Arabic" w:eastAsia="Times New Roman" w:hAnsi="Traditional Arabic" w:cs="Traditional Arabic"/>
      <w:b/>
      <w:bCs/>
      <w:color w:val="000000"/>
      <w:sz w:val="27"/>
      <w:szCs w:val="27"/>
    </w:rPr>
  </w:style>
  <w:style w:type="paragraph" w:customStyle="1" w:styleId="txtsubhead">
    <w:name w:val="txtsubhead"/>
    <w:basedOn w:val="Normal"/>
    <w:rsid w:val="00FE0086"/>
    <w:pPr>
      <w:spacing w:before="100" w:beforeAutospacing="1" w:after="100" w:afterAutospacing="1" w:line="360" w:lineRule="auto"/>
      <w:jc w:val="right"/>
    </w:pPr>
    <w:rPr>
      <w:rFonts w:ascii="Traditional Arabic" w:eastAsia="Times New Roman" w:hAnsi="Traditional Arabic" w:cs="Traditional Arabic"/>
      <w:b/>
      <w:bCs/>
      <w:color w:val="000000"/>
      <w:sz w:val="29"/>
      <w:szCs w:val="29"/>
    </w:rPr>
  </w:style>
  <w:style w:type="character" w:customStyle="1" w:styleId="txthead1">
    <w:name w:val="txthead1"/>
    <w:basedOn w:val="DefaultParagraphFont"/>
    <w:rsid w:val="00FE0086"/>
    <w:rPr>
      <w:rFonts w:ascii="Traditional Arabic" w:hAnsi="Traditional Arabic" w:cs="Traditional Arabic" w:hint="default"/>
      <w:b/>
      <w:bCs/>
      <w:color w:val="5B89AD"/>
      <w:sz w:val="33"/>
      <w:szCs w:val="33"/>
      <w:bdr w:val="none" w:sz="0" w:space="0" w:color="auto" w:frame="1"/>
    </w:rPr>
  </w:style>
  <w:style w:type="character" w:customStyle="1" w:styleId="txtnormal1">
    <w:name w:val="txtnormal1"/>
    <w:basedOn w:val="DefaultParagraphFont"/>
    <w:rsid w:val="00FE0086"/>
    <w:rPr>
      <w:rFonts w:ascii="Traditional Arabic" w:hAnsi="Traditional Arabic" w:cs="Traditional Arabic" w:hint="default"/>
      <w:b/>
      <w:bCs/>
      <w:color w:val="000000"/>
      <w:sz w:val="27"/>
      <w:szCs w:val="27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egory xmlns="58914aed-d3f7-4517-a887-860c7b20d557">بيـان الوزارة حـول ميـزانيـة الـدولــة للعـام المـالـي 1424/1425 هـ (2004)</ategory>
    <_dlc_DocId xmlns="ba949aac-9d6d-44d1-825f-1a79ffc23bd0">U25WJCHQFMRS-65-20</_dlc_DocId>
    <_dlc_DocIdUrl xmlns="ba949aac-9d6d-44d1-825f-1a79ffc23bd0">
      <Url>https://www.mof.gov.sa/Arabic/DownloadsCenter/_layouts/DocIdRedir.aspx?ID=U25WJCHQFMRS-65-20</Url>
      <Description>U25WJCHQFMRS-65-20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693B45AF807AE4D9CD19AE4AD786F8E" ma:contentTypeVersion="3" ma:contentTypeDescription="إنشاء مستند جديد." ma:contentTypeScope="" ma:versionID="0631520c367598cb327ffe4b0116e0aa">
  <xsd:schema xmlns:xsd="http://www.w3.org/2001/XMLSchema" xmlns:xs="http://www.w3.org/2001/XMLSchema" xmlns:p="http://schemas.microsoft.com/office/2006/metadata/properties" xmlns:ns2="58914aed-d3f7-4517-a887-860c7b20d557" xmlns:ns3="ba949aac-9d6d-44d1-825f-1a79ffc23bd0" targetNamespace="http://schemas.microsoft.com/office/2006/metadata/properties" ma:root="true" ma:fieldsID="4acde03b172c8cf189c2a51a1cb93990" ns2:_="" ns3:_="">
    <xsd:import namespace="58914aed-d3f7-4517-a887-860c7b20d557"/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4aed-d3f7-4517-a887-860c7b20d557" elementFormDefault="qualified">
    <xsd:import namespace="http://schemas.microsoft.com/office/2006/documentManagement/types"/>
    <xsd:import namespace="http://schemas.microsoft.com/office/infopath/2007/PartnerControls"/>
    <xsd:element name="ategory" ma:index="8" nillable="true" ma:displayName="الفئة" ma:default="بيـان الوزارة حـول ميـزانيـة الـدولــة للعـام المـالـي 1433/1434هـ (2012)" ma:format="Dropdown" ma:internalName="ategory">
      <xsd:simpleType>
        <xsd:restriction base="dms:Choice">
          <xsd:enumeration value="بيـان الوزارة حـول ميـزانيـة الـدولــة للعـام المـالـي 1433/1434هـ (2012)"/>
          <xsd:enumeration value="بيـان الوزارة حـول ميـزانيـة الـدولــة للعـام المـالـي 1432/1433هـ (2011)"/>
          <xsd:enumeration value="بيـان الوزارة حـول ميـزانيـة الـدولــة للعـام المـالـي 1431/1432هـ (2010)"/>
          <xsd:enumeration value="بيـان الوزارة حـول ميـزانيـة الـدولــة للعـام المـالـي 1430/1431هـ (2009)"/>
          <xsd:enumeration value="بيـان الوزارة حـول ميـزانيـة الـدولــة للعـام المـالـي 1428/1429هـ (2008)"/>
          <xsd:enumeration value="بيـان الوزارة حـول ميـزانيـة الـدولــة للعـام المـالـي 1427/1428هـ (2007)"/>
          <xsd:enumeration value="بيـان الوزارة حـول ميـزانيـة الـدولــة للعـام المـالـي 1426/1427هـ (2006)"/>
          <xsd:enumeration value="بيـان الوزارة حـول ميـزانيـة الـدولــة للعـام المـالـي 1425/1426هـ (2005)"/>
          <xsd:enumeration value="بيـان الوزارة حـول ميـزانيـة الـدولــة للعـام المـالـي 1424/1425 هـ (2004)"/>
          <xsd:enumeration value="نفقات الميزانية العامة (2012)"/>
          <xsd:enumeration value="بيـان الوزارة حـول ميـزانيـة الـدولــة للعـام المـالـي 1434/1435هـ (2013)"/>
          <xsd:enumeration value="بيـان الوزارة حـول ميـزانيـة الـدولــة للعـام المـالـي 1435/1436هـ (2014)"/>
          <xsd:enumeration value="بيـان الوزارة حـول ميـزانيـة الـدولــة للعـام المـالـي 1436/1437هـ (2015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0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5E2A1B-3351-46F3-AB86-0B1AC6452082}"/>
</file>

<file path=customXml/itemProps2.xml><?xml version="1.0" encoding="utf-8"?>
<ds:datastoreItem xmlns:ds="http://schemas.openxmlformats.org/officeDocument/2006/customXml" ds:itemID="{8F6CDA79-185E-4C52-B395-F783335EFCF1}"/>
</file>

<file path=customXml/itemProps3.xml><?xml version="1.0" encoding="utf-8"?>
<ds:datastoreItem xmlns:ds="http://schemas.openxmlformats.org/officeDocument/2006/customXml" ds:itemID="{7972E958-3093-4CF0-A149-8A23B5E78FC9}"/>
</file>

<file path=customXml/itemProps4.xml><?xml version="1.0" encoding="utf-8"?>
<ds:datastoreItem xmlns:ds="http://schemas.openxmlformats.org/officeDocument/2006/customXml" ds:itemID="{B8112A58-3E94-4DE0-A93D-53A5513DE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11585</Characters>
  <Application>Microsoft Office Word</Application>
  <DocSecurity>0</DocSecurity>
  <Lines>96</Lines>
  <Paragraphs>27</Paragraphs>
  <ScaleCrop>false</ScaleCrop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تــفـاصــيــل الــبــيــان</dc:title>
  <dc:creator>Yazan Massoud</dc:creator>
  <cp:lastModifiedBy>Yazan Massoud</cp:lastModifiedBy>
  <cp:revision>1</cp:revision>
  <dcterms:created xsi:type="dcterms:W3CDTF">2011-05-04T07:18:00Z</dcterms:created>
  <dcterms:modified xsi:type="dcterms:W3CDTF">2011-05-04T07:18:00Z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0x010100B693B45AF807AE4D9CD19AE4AD786F8E</vt:lpwstr>
  </property>
  <property fmtid="{D5CDD505-2E9C-101B-9397-08002B2CF9AE}" pid="3" name="_dlc_DocIdItemGuid">
    <vt:lpwstr>1799e237-1115-4c23-9046-68a44e795817</vt:lpwstr>
  </property>
  <property fmtid="{D5CDD505-2E9C-101B-9397-08002B2CF9AE}" pid="4" name="Order">
    <vt:r8>2000</vt:r8>
  </property>
</Properties>
</file>